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AB’NİN SINIRDA KARBON DÜZENLEME MEKANİZMASINA İLİŞKİN ETKİ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ANALİZİ ÇERÇEVESİNDE AB KOMİSYONUNA İLETİLEN ÜLKE GÖRÜŞÜMÜZ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HAKKINDA BİLGİ NOTU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İncelenmesinden, ülke görüşümüzün, AB’nin ülkemizle arasındaki Gümrük Birliği (GB) ile AKÇT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STA’sından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doğan ikili yükümlülükleri ile Dünya Ticaret Örgütü (DTÖ) ve Birleşmiş Milletler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İklim Değişikliği Çerçeve Sözleşmesi (BMİDÇS) kapsamındaki uluslararası yükümlülükleri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düzenlemenin metodolojisine ve finansmana ilişkin hususlar olmak üzere üç temel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kurgulandığı görülecektir.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düzenlemenin, başta AB’nin ülkemiz ile arasındaki ikili ve uluslararası anlaşmalar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kapsamındaki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yükümlülükleri çerçevesinde, Gümrük Birliği (GB) ve AKÇT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STA'sı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hükümleri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üzere DTÖ kuralları ile Birleşmiş Milletler İklim Değişikliği Çerçeve Sözleşmesi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(BMİDÇS)’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“ortak fakat farklılaştırılmış sorumluluklar ve göreceli kabiliyetler” ilkesine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uyumluluğu konusundaki endişelerimiz ve gerekli danışmaların yürütülmesi ihtiyacı belirtilmiştir.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kapsamda, GB Kararının ithalatta yeni bir gümrük vergisi uygulanamayacağına ve taraflar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arasındaki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ticarette keyfi bir ayrımcılığa veya örtülü bir kısıtlamaya yol açacak miktar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kısıtlamalarının yasak olduğuna ilişkin ilgili maddelerine vurgu yapılmıştır. Benzer şekilde,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Türkiye ve AB arasındaki AKÇT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Türkiye-AB tarım ürünleri ticaretine ilişkin 1/98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OKK’nın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ilgili hükümleri çerçevesinde taraflar arasındaki ticarette yeni gümrük vergilerinin,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miktar kısıtlamalarının ve eş etkili tedbirlerin tesis edilmesinin kural olarak yasaklanmış olduğu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sınırda karbon vergisi düzenlemesinin, AB’nin ülkemize karşı ikili yükümlülüklerinin kaynağını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oluşturan bu kurallar çerçevesinde ele alınması gerektiği belirtilmiştir.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taraftan, BMİDÇS ve bu doğrultuda Paris Anlaşması’nın ilgili maddesi uyarınca “ortak fakat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farklılaştırılmış sorumluluklar ve göreceli kabiliyetler” ilkesi çerçevesinde ülkelerin iklim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değişikliği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mücadelede farklı kapasite ve sorumluluklarının dikkate alınması gerektiği ve sınırda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karbon vergisi düzenlemesinin de bu ilkeyi gözetmesi gerektiğinin altı çizilmiştir. Ayrıca, yine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BMİDÇS’nin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ilgili maddeleri gereğince iklim değişikliği ile mücadelede alınan önlemlerin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uluslararası ticarette haksız bir ayrımcılığa veya örtülü bir kısıtlamaya yol açmaması gerektiği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 konusu düzenlemenin başta ülkemiz olmak üzere diğer ihracatçı ülkeler üzerindeki negatif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etkilerinin dikkate alınması gerektiğinin altı çizilmiştir. Önlemin ne şekilde dizayn edileceğine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içeriğine ilişkin detaylar henüz netleşmemiş olmakla birlikte, önlemin DTÖ kurallarına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uygunluğuna ilişkin endişelerimiz ifade edilmiştir.</w:t>
      </w:r>
    </w:p>
    <w:p w:rsidR="007F7A63" w:rsidRDefault="007F7A63" w:rsidP="007F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053" w:rsidRDefault="007F7A63" w:rsidP="007F7A6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Metodolojiye ilişkin hususlar çerçevesinde, her ne kadar görüşümüz önlemin uygulanmamasından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yana olsa </w:t>
      </w:r>
      <w:proofErr w:type="gramStart"/>
      <w:r>
        <w:rPr>
          <w:rFonts w:ascii="Times New Roman" w:hAnsi="Times New Roman" w:cs="Times New Roman"/>
          <w:sz w:val="24"/>
          <w:szCs w:val="24"/>
        </w:rPr>
        <w:t>da,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uygulanması halinde ülkelerin farklı kapasiteleri ile emisyonları azaltmaya 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farklı politika, vergi ve yenilenebilir enerji yatırımları gibi farklı düzenlemelerinin de dikkate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alınması; daha iyi durumdaki ihracatçıya bunu ortaya koyması halinde muafiyet imkânı tanınması;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ancak belgelendirme gereklerinin maliyetli ve karmaşık olmaması gerekliliği hususlarına işaret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edilmiştir. Söz konusu düzenlemeye ilişkin metodolojinin özellikle Gelişme Yolundaki Ülkelerin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farklı ekonomik gelişmişlik seviyeleri ile özel koşullarını dikkate alan adil, şeffaf ve öngörülebilir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temel üzerine oturtulması gerektiği vurgulanmıştır.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Finansmana ilişkin olarak, aynı finansman imkânlarına sahip olmadan ülkemizin bu tür bir önleme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tabi tutulmasının rekabet koşullarına ciddi şekilde zarar vereceği; ülkemizin AB'nin bu bağlamda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yarattığı tüm finansman mekanizmalarına erişiminin sağlanması; AB'nin bu yoldan elde edeceği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gelirlerin AB'de değil ilgili ülkelerdeki yeşil yatırımlar için tahsisi hususlarının altı çizilmiştir.</w:t>
      </w:r>
    </w:p>
    <w:sectPr w:rsidR="0025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63"/>
    <w:rsid w:val="00256053"/>
    <w:rsid w:val="007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0EAB"/>
  <w15:chartTrackingRefBased/>
  <w15:docId w15:val="{D223DE06-F420-4367-936B-E360E1B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Odabas</dc:creator>
  <cp:keywords/>
  <dc:description/>
  <cp:lastModifiedBy>Burcu Odabas</cp:lastModifiedBy>
  <cp:revision>1</cp:revision>
  <dcterms:created xsi:type="dcterms:W3CDTF">2020-09-30T08:29:00Z</dcterms:created>
  <dcterms:modified xsi:type="dcterms:W3CDTF">2020-09-30T08:32:00Z</dcterms:modified>
</cp:coreProperties>
</file>